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bookmarkStart w:id="0" w:name="bookmark=id.gjdgxs" w:colFirst="0" w:colLast="0"/>
      <w:bookmarkEnd w:id="0"/>
      <w:r w:rsidRPr="003B04CD">
        <w:rPr>
          <w:rFonts w:eastAsia="PT Serif"/>
          <w:color w:val="000000"/>
          <w:highlight w:val="yellow"/>
        </w:rPr>
        <w:t>nom prénom </w:t>
      </w:r>
    </w:p>
    <w:p w14:paraId="00000002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adresse</w:t>
      </w:r>
    </w:p>
    <w:p w14:paraId="00000003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tel </w:t>
      </w:r>
    </w:p>
    <w:p w14:paraId="00000004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  <w:highlight w:val="yellow"/>
        </w:rPr>
        <w:t>mail</w:t>
      </w:r>
      <w:r w:rsidRPr="003B04CD">
        <w:rPr>
          <w:rFonts w:eastAsia="PT Serif"/>
          <w:color w:val="000000"/>
        </w:rPr>
        <w:t> </w:t>
      </w:r>
    </w:p>
    <w:p w14:paraId="00000005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06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5760"/>
        <w:jc w:val="both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Entreprise</w:t>
      </w:r>
    </w:p>
    <w:p w14:paraId="00000007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5760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  <w:highlight w:val="yellow"/>
        </w:rPr>
        <w:t>Adresse</w:t>
      </w:r>
    </w:p>
    <w:p w14:paraId="00000008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09" w14:textId="29E6F431" w:rsidR="003A3148" w:rsidRPr="000F6391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i/>
          <w:iCs/>
          <w:color w:val="000000"/>
        </w:rPr>
      </w:pPr>
      <w:r w:rsidRPr="00EF357F">
        <w:rPr>
          <w:rFonts w:eastAsia="PT Serif"/>
          <w:i/>
          <w:iCs/>
          <w:color w:val="000000"/>
          <w:highlight w:val="yellow"/>
        </w:rPr>
        <w:t>Lettre recommandée avec avis de réception </w:t>
      </w:r>
      <w:r w:rsidR="00EF357F" w:rsidRPr="00EF357F">
        <w:rPr>
          <w:rFonts w:eastAsia="PT Serif"/>
          <w:i/>
          <w:iCs/>
          <w:color w:val="000000"/>
          <w:highlight w:val="yellow"/>
        </w:rPr>
        <w:t>/ mail</w:t>
      </w:r>
    </w:p>
    <w:p w14:paraId="0000000A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</w:p>
    <w:p w14:paraId="0000000B" w14:textId="37F2FF3A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u w:val="single"/>
        </w:rPr>
      </w:pPr>
      <w:r w:rsidRPr="003B04CD">
        <w:rPr>
          <w:rFonts w:eastAsia="PT Serif"/>
          <w:color w:val="000000"/>
          <w:u w:val="single"/>
        </w:rPr>
        <w:t xml:space="preserve">Objet : </w:t>
      </w:r>
      <w:r w:rsidR="003B04CD" w:rsidRPr="003B04CD">
        <w:rPr>
          <w:rFonts w:eastAsia="PT Serif"/>
          <w:color w:val="000000"/>
          <w:u w:val="single"/>
        </w:rPr>
        <w:t>régularisation de</w:t>
      </w:r>
      <w:r w:rsidR="00F94062">
        <w:rPr>
          <w:rFonts w:eastAsia="PT Serif"/>
          <w:color w:val="000000"/>
          <w:u w:val="single"/>
        </w:rPr>
        <w:t xml:space="preserve">s </w:t>
      </w:r>
      <w:r w:rsidR="003B04CD" w:rsidRPr="003B04CD">
        <w:rPr>
          <w:rFonts w:eastAsia="PT Serif"/>
          <w:color w:val="000000"/>
          <w:u w:val="single"/>
        </w:rPr>
        <w:t>droits à congés</w:t>
      </w:r>
      <w:r w:rsidR="00682639">
        <w:rPr>
          <w:rFonts w:eastAsia="PT Serif"/>
          <w:color w:val="000000"/>
          <w:u w:val="single"/>
        </w:rPr>
        <w:t xml:space="preserve"> payés</w:t>
      </w:r>
    </w:p>
    <w:p w14:paraId="0000000C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 w:rsidRPr="003B04CD">
        <w:rPr>
          <w:color w:val="000000"/>
        </w:rPr>
        <w:br/>
      </w:r>
    </w:p>
    <w:p w14:paraId="0000000D" w14:textId="28BCC790" w:rsidR="003A3148" w:rsidRPr="003B04CD" w:rsidRDefault="000F6391" w:rsidP="003B04CD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>Madame, Monsieur, </w:t>
      </w:r>
      <w:r w:rsidR="002A0B82" w:rsidRPr="002A0B82">
        <w:rPr>
          <w:rFonts w:eastAsia="PT Serif"/>
          <w:color w:val="000000"/>
          <w:highlight w:val="yellow"/>
        </w:rPr>
        <w:t>(le ou la DRH, ou autre)</w:t>
      </w:r>
    </w:p>
    <w:p w14:paraId="0000000E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0F" w14:textId="2EF62A8D" w:rsidR="003A3148" w:rsidRPr="003B04CD" w:rsidRDefault="000F6391" w:rsidP="00682639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firstLine="360"/>
        <w:jc w:val="both"/>
        <w:rPr>
          <w:color w:val="000000"/>
        </w:rPr>
      </w:pPr>
      <w:r w:rsidRPr="003B04CD">
        <w:rPr>
          <w:rFonts w:eastAsia="PT Serif"/>
          <w:color w:val="000000"/>
        </w:rPr>
        <w:t>Par une série d’arrêts du 13 septembre 2023 (pourvois n° 22-17.340 à 22-17.342, n° 22-17.638, n° 22-10.529</w:t>
      </w:r>
      <w:r w:rsidR="003B04CD">
        <w:rPr>
          <w:rFonts w:eastAsia="PT Serif"/>
          <w:color w:val="000000"/>
        </w:rPr>
        <w:t>,</w:t>
      </w:r>
      <w:r w:rsidRPr="003B04CD">
        <w:rPr>
          <w:rFonts w:eastAsia="PT Serif"/>
          <w:color w:val="000000"/>
        </w:rPr>
        <w:t xml:space="preserve"> n° 22-11.106</w:t>
      </w:r>
      <w:r w:rsidR="003B04CD">
        <w:rPr>
          <w:rFonts w:eastAsia="PT Serif"/>
          <w:color w:val="000000"/>
        </w:rPr>
        <w:t xml:space="preserve"> et 22-14.043</w:t>
      </w:r>
      <w:r w:rsidRPr="003B04CD">
        <w:rPr>
          <w:rFonts w:eastAsia="PT Serif"/>
          <w:color w:val="000000"/>
        </w:rPr>
        <w:t xml:space="preserve">), </w:t>
      </w:r>
      <w:r w:rsidR="00E9161E">
        <w:rPr>
          <w:rFonts w:eastAsia="PT Serif"/>
          <w:color w:val="000000"/>
        </w:rPr>
        <w:t xml:space="preserve">la Cour de cassation a mis en conformité de droit national avec le droit de l’Union </w:t>
      </w:r>
      <w:r w:rsidR="00E9161E" w:rsidRPr="003B04CD">
        <w:rPr>
          <w:rFonts w:eastAsia="PT Serif"/>
          <w:color w:val="000000"/>
        </w:rPr>
        <w:t>afin de garantir une meilleure effectivité des droits des salarié</w:t>
      </w:r>
      <w:r w:rsidR="00E9161E">
        <w:rPr>
          <w:rFonts w:eastAsia="PT Serif"/>
          <w:color w:val="000000"/>
        </w:rPr>
        <w:t>.e</w:t>
      </w:r>
      <w:r w:rsidR="00E9161E" w:rsidRPr="003B04CD">
        <w:rPr>
          <w:rFonts w:eastAsia="PT Serif"/>
          <w:color w:val="000000"/>
        </w:rPr>
        <w:t>s à leur</w:t>
      </w:r>
      <w:r w:rsidR="00E9161E">
        <w:rPr>
          <w:rFonts w:eastAsia="PT Serif"/>
          <w:color w:val="000000"/>
        </w:rPr>
        <w:t>s</w:t>
      </w:r>
      <w:r w:rsidR="00E9161E" w:rsidRPr="003B04CD">
        <w:rPr>
          <w:rFonts w:eastAsia="PT Serif"/>
          <w:color w:val="000000"/>
        </w:rPr>
        <w:t xml:space="preserve"> congé</w:t>
      </w:r>
      <w:r w:rsidR="00E9161E">
        <w:rPr>
          <w:rFonts w:eastAsia="PT Serif"/>
          <w:color w:val="000000"/>
        </w:rPr>
        <w:t>s</w:t>
      </w:r>
      <w:r w:rsidR="00E9161E" w:rsidRPr="003B04CD">
        <w:rPr>
          <w:rFonts w:eastAsia="PT Serif"/>
          <w:color w:val="000000"/>
        </w:rPr>
        <w:t xml:space="preserve"> payé</w:t>
      </w:r>
      <w:r w:rsidR="00E9161E">
        <w:rPr>
          <w:rFonts w:eastAsia="PT Serif"/>
          <w:color w:val="000000"/>
        </w:rPr>
        <w:t>s. Plus précisément, elle a jugé que :</w:t>
      </w:r>
    </w:p>
    <w:p w14:paraId="00000011" w14:textId="49F72CC8" w:rsidR="003A3148" w:rsidRPr="003B04CD" w:rsidRDefault="000F6391" w:rsidP="003B04CD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7"/>
        </w:tabs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>les salarié</w:t>
      </w:r>
      <w:r w:rsidR="003B04CD" w:rsidRPr="003B04CD">
        <w:rPr>
          <w:rFonts w:eastAsia="PT Serif"/>
          <w:color w:val="000000"/>
        </w:rPr>
        <w:t>.e</w:t>
      </w:r>
      <w:r w:rsidRPr="003B04CD">
        <w:rPr>
          <w:rFonts w:eastAsia="PT Serif"/>
          <w:color w:val="000000"/>
        </w:rPr>
        <w:t>s malades ou accidenté</w:t>
      </w:r>
      <w:r w:rsidR="003B04CD" w:rsidRPr="003B04CD">
        <w:rPr>
          <w:rFonts w:eastAsia="PT Serif"/>
          <w:color w:val="000000"/>
        </w:rPr>
        <w:t>.e</w:t>
      </w:r>
      <w:r w:rsidRPr="003B04CD">
        <w:rPr>
          <w:rFonts w:eastAsia="PT Serif"/>
          <w:color w:val="000000"/>
        </w:rPr>
        <w:t>s auront droit à des congés payés sur leur période d’absence, même si cette absence n’est pas liée à un accident de travail ou à une maladie professionnelle ;</w:t>
      </w:r>
    </w:p>
    <w:p w14:paraId="00000012" w14:textId="1B3E0339" w:rsidR="003A3148" w:rsidRPr="003B04CD" w:rsidRDefault="000F6391" w:rsidP="003B04CD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7"/>
        </w:tabs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>en cas d’accident du travail, le calcul des droits à congé payé ne sera plus limité à la première année de l’arrêt de travail ;</w:t>
      </w:r>
    </w:p>
    <w:p w14:paraId="27609B15" w14:textId="3FD6107E" w:rsidR="003B04CD" w:rsidRPr="003B04CD" w:rsidRDefault="000F6391" w:rsidP="003B04CD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7"/>
        </w:tabs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>la prescription du droit à congé payé ne commence à courir que lorsque l’employeur a mis</w:t>
      </w:r>
      <w:r w:rsidR="003B04CD" w:rsidRPr="003B04CD">
        <w:rPr>
          <w:rFonts w:eastAsia="PT Serif"/>
          <w:color w:val="000000"/>
        </w:rPr>
        <w:t xml:space="preserve"> le ou la </w:t>
      </w:r>
      <w:proofErr w:type="spellStart"/>
      <w:r w:rsidRPr="003B04CD">
        <w:rPr>
          <w:rFonts w:eastAsia="PT Serif"/>
          <w:color w:val="000000"/>
        </w:rPr>
        <w:t>salarié</w:t>
      </w:r>
      <w:r w:rsidR="003B04CD" w:rsidRPr="003B04CD">
        <w:rPr>
          <w:rFonts w:eastAsia="PT Serif"/>
          <w:color w:val="000000"/>
        </w:rPr>
        <w:t>.e</w:t>
      </w:r>
      <w:proofErr w:type="spellEnd"/>
      <w:r w:rsidRPr="003B04CD">
        <w:rPr>
          <w:rFonts w:eastAsia="PT Serif"/>
          <w:color w:val="000000"/>
        </w:rPr>
        <w:t xml:space="preserve"> en mesure d’exercer celui-ci en temps utile</w:t>
      </w:r>
      <w:r w:rsidR="003B04CD" w:rsidRPr="003B04CD">
        <w:rPr>
          <w:rFonts w:eastAsia="PT Serif"/>
          <w:color w:val="000000"/>
        </w:rPr>
        <w:t xml:space="preserve"> ; </w:t>
      </w:r>
    </w:p>
    <w:p w14:paraId="00000014" w14:textId="2D4D6881" w:rsidR="003A3148" w:rsidRDefault="003B04CD" w:rsidP="003B04CD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7"/>
        </w:tabs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 xml:space="preserve">lorsque le ou la </w:t>
      </w:r>
      <w:proofErr w:type="spellStart"/>
      <w:r w:rsidRPr="003B04CD">
        <w:rPr>
          <w:rFonts w:eastAsia="PT Serif"/>
          <w:color w:val="000000"/>
        </w:rPr>
        <w:t>salarié∙e</w:t>
      </w:r>
      <w:proofErr w:type="spellEnd"/>
      <w:r w:rsidRPr="003B04CD">
        <w:rPr>
          <w:rFonts w:eastAsia="PT Serif"/>
          <w:color w:val="000000"/>
        </w:rPr>
        <w:t xml:space="preserve"> s’est </w:t>
      </w:r>
      <w:proofErr w:type="spellStart"/>
      <w:r w:rsidRPr="003B04CD">
        <w:rPr>
          <w:rFonts w:eastAsia="PT Serif"/>
          <w:color w:val="000000"/>
        </w:rPr>
        <w:t>trouvé∙e</w:t>
      </w:r>
      <w:proofErr w:type="spellEnd"/>
      <w:r w:rsidRPr="003B04CD">
        <w:rPr>
          <w:rFonts w:eastAsia="PT Serif"/>
          <w:color w:val="000000"/>
        </w:rPr>
        <w:t xml:space="preserve"> dans l’impossibilité de prendre ses congés payés au cours de l’année de référence en raison de l’exercice de son droit au congé parental, les congés payés acquis à la date du début du congé parental doivent être reportés après la date de reprise du travail.</w:t>
      </w:r>
      <w:r w:rsidR="004B67FE">
        <w:rPr>
          <w:rFonts w:eastAsia="PT Serif"/>
          <w:color w:val="000000"/>
        </w:rPr>
        <w:t xml:space="preserve"> Pour la parfaite conformité du droit français au droit de l’Union, cette solution sera transposée aux autres hypothèses de suspension du contrat de travail, notamment en cas d’arrêt pour maladie. </w:t>
      </w:r>
    </w:p>
    <w:p w14:paraId="1F97CF30" w14:textId="77777777" w:rsidR="003B04CD" w:rsidRPr="003B04CD" w:rsidRDefault="003B04CD" w:rsidP="00682639">
      <w:pPr>
        <w:pStyle w:val="Paragraphedeliste"/>
        <w:pBdr>
          <w:top w:val="nil"/>
          <w:left w:val="nil"/>
          <w:bottom w:val="nil"/>
          <w:right w:val="nil"/>
          <w:between w:val="nil"/>
        </w:pBdr>
        <w:tabs>
          <w:tab w:val="left" w:pos="1427"/>
        </w:tabs>
        <w:spacing w:line="331" w:lineRule="auto"/>
        <w:jc w:val="both"/>
        <w:rPr>
          <w:rFonts w:eastAsia="PT Serif"/>
          <w:color w:val="000000"/>
        </w:rPr>
      </w:pPr>
    </w:p>
    <w:p w14:paraId="59BB3DFC" w14:textId="26934998" w:rsidR="006E063A" w:rsidRDefault="000F6391" w:rsidP="00122BA5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>Ce</w:t>
      </w:r>
      <w:r w:rsidR="003B04CD">
        <w:rPr>
          <w:rFonts w:eastAsia="PT Serif"/>
          <w:color w:val="000000"/>
        </w:rPr>
        <w:t>s</w:t>
      </w:r>
      <w:r w:rsidRPr="003B04CD">
        <w:rPr>
          <w:rFonts w:eastAsia="PT Serif"/>
          <w:color w:val="000000"/>
        </w:rPr>
        <w:t xml:space="preserve"> jurisprudence</w:t>
      </w:r>
      <w:r w:rsidR="003B04CD">
        <w:rPr>
          <w:rFonts w:eastAsia="PT Serif"/>
          <w:color w:val="000000"/>
        </w:rPr>
        <w:t>s</w:t>
      </w:r>
      <w:r w:rsidR="004B67FE">
        <w:rPr>
          <w:rFonts w:eastAsia="PT Serif"/>
          <w:color w:val="000000"/>
        </w:rPr>
        <w:t>, qui ont un effet rétroactif,</w:t>
      </w:r>
      <w:r w:rsidRPr="003B04CD">
        <w:rPr>
          <w:rFonts w:eastAsia="PT Serif"/>
          <w:color w:val="000000"/>
        </w:rPr>
        <w:t xml:space="preserve"> </w:t>
      </w:r>
      <w:r w:rsidR="003B04CD">
        <w:rPr>
          <w:rFonts w:eastAsia="PT Serif"/>
          <w:color w:val="000000"/>
        </w:rPr>
        <w:t>s’appliquent tant aux congés payés léga</w:t>
      </w:r>
      <w:r w:rsidR="006E063A">
        <w:rPr>
          <w:rFonts w:eastAsia="PT Serif"/>
          <w:color w:val="000000"/>
        </w:rPr>
        <w:t>ux q</w:t>
      </w:r>
      <w:r w:rsidR="00122BA5">
        <w:rPr>
          <w:rFonts w:eastAsia="PT Serif"/>
          <w:color w:val="000000"/>
        </w:rPr>
        <w:t>u’aux congés conventionnel, ce qu’appliquent sans surprise depuis les conseils de prud’hommes et cours d’appel saisis par des demandes de salariés.</w:t>
      </w:r>
    </w:p>
    <w:p w14:paraId="203D2E97" w14:textId="77777777" w:rsidR="006E063A" w:rsidRDefault="006E063A" w:rsidP="003B04CD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</w:p>
    <w:p w14:paraId="0629253B" w14:textId="517A3E77" w:rsidR="006E063A" w:rsidRDefault="006E063A" w:rsidP="006E063A">
      <w:pPr>
        <w:spacing w:line="328" w:lineRule="auto"/>
        <w:jc w:val="both"/>
        <w:rPr>
          <w:rFonts w:eastAsia="PT Serif"/>
          <w:color w:val="000000"/>
        </w:rPr>
      </w:pPr>
      <w:r>
        <w:rPr>
          <w:rFonts w:eastAsia="PT Serif"/>
          <w:color w:val="000000"/>
        </w:rPr>
        <w:lastRenderedPageBreak/>
        <w:t>Si le Conseil constitutionnel a rendu récemment une décision déclarant conformes à la Constitution les articles du code du travail contestés, cela n’impacte en rien leur non-conformité au droit de l’Union européenne qui subsiste et que se doit de faire appliquer le juge français.</w:t>
      </w:r>
    </w:p>
    <w:p w14:paraId="6631236E" w14:textId="77777777" w:rsidR="006E063A" w:rsidRPr="003B04CD" w:rsidRDefault="006E063A" w:rsidP="006E063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</w:p>
    <w:p w14:paraId="5F9D22D5" w14:textId="2A4E2D28" w:rsidR="0031596A" w:rsidRDefault="0031596A" w:rsidP="0031596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>
        <w:rPr>
          <w:rFonts w:eastAsia="PT Serif"/>
          <w:color w:val="000000"/>
        </w:rPr>
        <w:t xml:space="preserve">Nous vous sollicitons afin que vous rendiez effectifs ces nouveaux droits, et que vous informiez les </w:t>
      </w:r>
      <w:proofErr w:type="spellStart"/>
      <w:r>
        <w:rPr>
          <w:rFonts w:eastAsia="PT Serif"/>
          <w:color w:val="000000"/>
        </w:rPr>
        <w:t>travailleur.euses</w:t>
      </w:r>
      <w:proofErr w:type="spellEnd"/>
      <w:r>
        <w:rPr>
          <w:rFonts w:eastAsia="PT Serif"/>
          <w:color w:val="000000"/>
        </w:rPr>
        <w:t xml:space="preserve"> concerné.es des régularisations qui leurs sont dues au titre de leurs congés légaux et conventionnels.</w:t>
      </w:r>
    </w:p>
    <w:p w14:paraId="72B1DD68" w14:textId="77777777" w:rsidR="0031596A" w:rsidRPr="003B04CD" w:rsidRDefault="0031596A" w:rsidP="0031596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2C87CE0D" w14:textId="77777777" w:rsidR="0031596A" w:rsidRDefault="0031596A" w:rsidP="0031596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>En vous remerciant par avance</w:t>
      </w:r>
      <w:r>
        <w:rPr>
          <w:rFonts w:eastAsia="PT Serif"/>
          <w:color w:val="000000"/>
        </w:rPr>
        <w:t xml:space="preserve"> des diligences que vous mettrez en œuvre. </w:t>
      </w:r>
    </w:p>
    <w:p w14:paraId="28F6DFB1" w14:textId="77777777" w:rsidR="0031596A" w:rsidRDefault="0031596A" w:rsidP="0031596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</w:p>
    <w:p w14:paraId="21F05ECC" w14:textId="4280A748" w:rsidR="0031596A" w:rsidRDefault="0031596A" w:rsidP="0031596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>
        <w:rPr>
          <w:rFonts w:eastAsia="PT Serif"/>
          <w:color w:val="000000"/>
        </w:rPr>
        <w:t>Cordialement,</w:t>
      </w:r>
    </w:p>
    <w:p w14:paraId="00000032" w14:textId="77777777" w:rsidR="003A3148" w:rsidRPr="003B04CD" w:rsidRDefault="003A3148" w:rsidP="006E063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34" w14:textId="2BF9CB3E" w:rsidR="003A3148" w:rsidRPr="003B04CD" w:rsidRDefault="000F6391" w:rsidP="0031596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right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Signatur</w:t>
      </w:r>
      <w:r w:rsidR="0031596A">
        <w:rPr>
          <w:rFonts w:eastAsia="PT Serif"/>
          <w:color w:val="000000"/>
          <w:highlight w:val="yellow"/>
        </w:rPr>
        <w:t>e du syndicat</w:t>
      </w:r>
    </w:p>
    <w:p w14:paraId="00000035" w14:textId="77777777" w:rsidR="003A3148" w:rsidRPr="003B04CD" w:rsidRDefault="003A3148" w:rsidP="006E063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38" w14:textId="77777777" w:rsidR="003A3148" w:rsidRPr="003B04CD" w:rsidRDefault="003A3148"/>
    <w:sectPr w:rsidR="003A3148" w:rsidRPr="003B04CD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01AF"/>
    <w:multiLevelType w:val="multilevel"/>
    <w:tmpl w:val="664E15D8"/>
    <w:lvl w:ilvl="0"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631DEB"/>
    <w:multiLevelType w:val="hybridMultilevel"/>
    <w:tmpl w:val="B89A673E"/>
    <w:lvl w:ilvl="0" w:tplc="08EA64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46C95"/>
    <w:multiLevelType w:val="multilevel"/>
    <w:tmpl w:val="AC829EDA"/>
    <w:lvl w:ilvl="0">
      <w:start w:val="1"/>
      <w:numFmt w:val="decimal"/>
      <w:lvlText w:val="%1."/>
      <w:lvlJc w:val="left"/>
      <w:pPr>
        <w:ind w:left="707" w:hanging="282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506E616C"/>
    <w:multiLevelType w:val="multilevel"/>
    <w:tmpl w:val="6E72999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422459668">
    <w:abstractNumId w:val="0"/>
  </w:num>
  <w:num w:numId="2" w16cid:durableId="1295022137">
    <w:abstractNumId w:val="2"/>
  </w:num>
  <w:num w:numId="3" w16cid:durableId="1684547720">
    <w:abstractNumId w:val="3"/>
  </w:num>
  <w:num w:numId="4" w16cid:durableId="26458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148"/>
    <w:rsid w:val="000F6391"/>
    <w:rsid w:val="001207C7"/>
    <w:rsid w:val="00122BA5"/>
    <w:rsid w:val="00217B7A"/>
    <w:rsid w:val="002A0B82"/>
    <w:rsid w:val="0031596A"/>
    <w:rsid w:val="00375DCD"/>
    <w:rsid w:val="003A3148"/>
    <w:rsid w:val="003B04CD"/>
    <w:rsid w:val="004B67FE"/>
    <w:rsid w:val="005F6347"/>
    <w:rsid w:val="00682639"/>
    <w:rsid w:val="006E063A"/>
    <w:rsid w:val="00A10DA8"/>
    <w:rsid w:val="00E9161E"/>
    <w:rsid w:val="00EF357F"/>
    <w:rsid w:val="00F9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F51C"/>
  <w15:docId w15:val="{A4CB7D6F-9D34-445D-893B-B57A7F3C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umberingSymbols">
    <w:name w:val="Numbering Symbols"/>
    <w:qFormat/>
  </w:style>
  <w:style w:type="character" w:styleId="Lienhypertext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eastAsia="Noto Sans CJK SC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Arial" w:hAnsi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3B04CD"/>
    <w:pPr>
      <w:ind w:left="720"/>
      <w:contextualSpacing/>
    </w:pPr>
  </w:style>
  <w:style w:type="character" w:customStyle="1" w:styleId="white-space-pre">
    <w:name w:val="white-space-pre"/>
    <w:basedOn w:val="Policepardfaut"/>
    <w:rsid w:val="006E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hSFnCXi6LPbXkoBHNZdHKJPAA==">CgMxLjAyCWlkLmdqZGd4czgAciExNHdHRmg3clVTN0piaWZmeUxvYk56QVE5eElSckFmOEU=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UD CGT43</cp:lastModifiedBy>
  <cp:revision>4</cp:revision>
  <dcterms:created xsi:type="dcterms:W3CDTF">2024-02-26T16:43:00Z</dcterms:created>
  <dcterms:modified xsi:type="dcterms:W3CDTF">2024-03-11T09:16:00Z</dcterms:modified>
</cp:coreProperties>
</file>